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校教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autoSpaceDE w:val="0"/>
        <w:autoSpaceDN w:val="0"/>
        <w:adjustRightInd w:val="0"/>
        <w:spacing w:line="60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cs="宋体"/>
          <w:b/>
          <w:bCs/>
          <w:sz w:val="24"/>
          <w:szCs w:val="24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关于公布长春建筑学院课程考核改革立项建设名单的通知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《关于做好开展课程考核改革立项建设工作的通知》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教务处和教学质量监督保障处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课程考核改革立项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建设评审工作。经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各教学单位遴选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推荐、专家组评审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结果公示,现确定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《传热学》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门课程为“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长春建筑学院课程考核改革立项建设课程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批准立项建设的课程,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应严格执行考核改革立项方案，教务处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监督检查执行情况，并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17-2018学年第二学期期末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集中组织验收,验收不合格的取消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长春建筑学院课程考核改革立项建设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(此页无正文)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pict>
          <v:line id="直接连接符 3" o:spid="_x0000_s1032" o:spt="20" style="position:absolute;left:0pt;margin-left:0pt;margin-top:24.7pt;height:0pt;width:450pt;z-index:251663360;mso-width-relative:page;mso-height-relative:page;" filled="f" stroked="t" coordsize="21600,21600" o:gfxdata="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CCuFtQAAAAGAQAADwAAAAAAAAABACAAAAAiAAAAZHJz&#10;L2Rvd25yZXYueG1sUEsBAhQAFAAAAAgAh07iQNtpxqLPAQAAZwMAAA4AAAAAAAAAAQAgAAAAIwEA&#10;AGRycy9lMm9Eb2MueG1sUEsFBgAAAAAGAAYAWQEAAGQ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黑体" w:hAnsi="仿宋_GB2312" w:eastAsia="黑体" w:cs="仿宋_GB2312"/>
          <w:sz w:val="32"/>
          <w:szCs w:val="32"/>
        </w:rPr>
        <w:t>主题词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宋体" w:hAnsi="宋体" w:cs="仿宋_GB2312"/>
          <w:sz w:val="32"/>
          <w:szCs w:val="32"/>
          <w:lang w:eastAsia="zh-CN"/>
        </w:rPr>
        <w:t>公布  课程考核改革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eastAsia="zh-CN"/>
        </w:rPr>
        <w:t>立项建设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" w:firstLineChars="5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  送：吉林省建筑装饰集团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" w:firstLineChars="50"/>
        <w:jc w:val="both"/>
        <w:textAlignment w:val="auto"/>
        <w:outlineLvl w:val="9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直接连接符 2" o:spid="_x0000_s1033" o:spt="20" style="position:absolute;left:0pt;margin-left:0.75pt;margin-top:0.7pt;height:0pt;width:450pt;z-index:251664384;mso-width-relative:page;mso-height-relative:page;" filled="f" stroked="t" coordsize="21600,21600" o:gfxdata="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eometEAAAAFAQAADwAAAAAAAAABACAAAAAiAAAAZHJzL2Rv&#10;d25yZXYueG1sUEsBAhQAFAAAAAgAh07iQA8CYc/PAQAAZwMAAA4AAAAAAAAAAQAgAAAAIAEAAGRy&#10;cy9lMm9Eb2MueG1sUEsFBgAAAAAGAAYAWQEAAGE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长春建筑学院教务处　                          201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7035" w:firstLineChars="3350"/>
        <w:jc w:val="both"/>
        <w:textAlignment w:val="auto"/>
        <w:outlineLvl w:val="9"/>
        <w:rPr>
          <w:rFonts w:hint="eastAsia"/>
          <w:lang w:val="en-US" w:eastAsia="zh-CN"/>
        </w:rPr>
      </w:pPr>
      <w:r>
        <w:pict>
          <v:line id="直接连接符 1" o:spid="_x0000_s1034" o:spt="20" style="position:absolute;left:0pt;margin-left:0.75pt;margin-top:1.7pt;height:0pt;width:450pt;z-index:251665408;mso-width-relative:page;mso-height-relative:page;" filled="f" stroked="t" coordsize="21600,21600" o:gfxdata="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6M3hB0QAAAAUBAAAPAAAAAAAAAAEAIAAAACIAAABkcnMvZG93&#10;bnJldi54bWxQSwECFAAUAAAACACHTuJAc76Iec4BAABnAwAADgAAAAAAAAABACAAAAAgAQAAZHJz&#10;L2Uyb0RvYy54bWxQSwUGAAAAAAYABgBZAQAAYA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 w:cs="仿宋_GB2312"/>
          <w:sz w:val="32"/>
          <w:szCs w:val="32"/>
        </w:rPr>
        <w:t>（共印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长春建筑学院课程考核改革立项建设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名单</w:t>
      </w:r>
    </w:p>
    <w:tbl>
      <w:tblPr>
        <w:tblStyle w:val="6"/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2392"/>
        <w:gridCol w:w="2610"/>
        <w:gridCol w:w="2280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设计表达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中外城市建设史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园林树木学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城市地下空间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地下工程施工技术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防火与防爆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张治江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计算机原理及应用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水质工程学Ⅱ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Linux操作系统及其安全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电力系统继电保护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射频识别（RFID）技术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房地产估价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吕剑亮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建设工程招投标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城市道路设计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数字化测图原理与方法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摄像基础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计算机辅助设计Ⅰ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大众传播学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邬晓莹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模型制作与工艺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室内环境与设备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计算机辅助设计Ⅱ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创意思维II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王麒瑞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数字游戏开发II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关媛元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中外园林史Ⅰ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设计基础Ⅱ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Photoshop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设计基础Ⅱ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杨凱智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高等数学、线性代数、概率论与数理统计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健美操普修课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荣小辉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1"/>
        <w:szCs w:val="21"/>
      </w:rPr>
    </w:pP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PAGE 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</w:rPr>
      <w:t>- 2 -</w:t>
    </w:r>
    <w:r>
      <w:rPr>
        <w:rStyle w:val="5"/>
        <w:sz w:val="21"/>
        <w:szCs w:val="21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F7"/>
    <w:rsid w:val="002E3913"/>
    <w:rsid w:val="004313BA"/>
    <w:rsid w:val="00460719"/>
    <w:rsid w:val="00460EF7"/>
    <w:rsid w:val="004C36A8"/>
    <w:rsid w:val="005021A6"/>
    <w:rsid w:val="005A7817"/>
    <w:rsid w:val="005E492F"/>
    <w:rsid w:val="0079142E"/>
    <w:rsid w:val="00806DB0"/>
    <w:rsid w:val="00A219B1"/>
    <w:rsid w:val="00A612DF"/>
    <w:rsid w:val="00A92482"/>
    <w:rsid w:val="00B913D5"/>
    <w:rsid w:val="00BA2C41"/>
    <w:rsid w:val="00DE2381"/>
    <w:rsid w:val="03E458C3"/>
    <w:rsid w:val="09C44A90"/>
    <w:rsid w:val="0C966DC0"/>
    <w:rsid w:val="0FDE6E52"/>
    <w:rsid w:val="10063BE4"/>
    <w:rsid w:val="105E7C67"/>
    <w:rsid w:val="1158619C"/>
    <w:rsid w:val="11D62B58"/>
    <w:rsid w:val="126A75FA"/>
    <w:rsid w:val="129A5B43"/>
    <w:rsid w:val="14096F86"/>
    <w:rsid w:val="199441A4"/>
    <w:rsid w:val="19D82E63"/>
    <w:rsid w:val="1CAA3AF2"/>
    <w:rsid w:val="1EBF5846"/>
    <w:rsid w:val="1F815462"/>
    <w:rsid w:val="200C3ADE"/>
    <w:rsid w:val="2193502E"/>
    <w:rsid w:val="24875DBC"/>
    <w:rsid w:val="261B06D3"/>
    <w:rsid w:val="26824128"/>
    <w:rsid w:val="273A6E81"/>
    <w:rsid w:val="27DE4102"/>
    <w:rsid w:val="2D6832DA"/>
    <w:rsid w:val="2F440EDF"/>
    <w:rsid w:val="2FE52887"/>
    <w:rsid w:val="340D4C37"/>
    <w:rsid w:val="3757611A"/>
    <w:rsid w:val="38747A72"/>
    <w:rsid w:val="3B584563"/>
    <w:rsid w:val="3C4471C6"/>
    <w:rsid w:val="3D245775"/>
    <w:rsid w:val="41FD6BE6"/>
    <w:rsid w:val="430151EB"/>
    <w:rsid w:val="432258E9"/>
    <w:rsid w:val="45C733A4"/>
    <w:rsid w:val="46DB591F"/>
    <w:rsid w:val="48104FA0"/>
    <w:rsid w:val="48634971"/>
    <w:rsid w:val="4A6B5584"/>
    <w:rsid w:val="4B04172D"/>
    <w:rsid w:val="51EB5880"/>
    <w:rsid w:val="5A2F00CC"/>
    <w:rsid w:val="5CF51595"/>
    <w:rsid w:val="5CFC04F0"/>
    <w:rsid w:val="5D5701A3"/>
    <w:rsid w:val="5DF40663"/>
    <w:rsid w:val="62045EA2"/>
    <w:rsid w:val="6207328F"/>
    <w:rsid w:val="639A293E"/>
    <w:rsid w:val="64DF2677"/>
    <w:rsid w:val="657D6354"/>
    <w:rsid w:val="6F850D6F"/>
    <w:rsid w:val="716F7E5E"/>
    <w:rsid w:val="722B067F"/>
    <w:rsid w:val="766C626F"/>
    <w:rsid w:val="76F13859"/>
    <w:rsid w:val="77FD2EC4"/>
    <w:rsid w:val="7B764E03"/>
    <w:rsid w:val="7BC90FAA"/>
    <w:rsid w:val="7F8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9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1925</Words>
  <Characters>1932</Characters>
  <Lines>0</Lines>
  <Paragraphs>0</Paragraphs>
  <ScaleCrop>false</ScaleCrop>
  <LinksUpToDate>false</LinksUpToDate>
  <CharactersWithSpaces>1989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ωoΟ︶q</cp:lastModifiedBy>
  <cp:lastPrinted>2018-07-05T01:31:10Z</cp:lastPrinted>
  <dcterms:modified xsi:type="dcterms:W3CDTF">2018-07-05T01:35:25Z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